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A5B93" w14:textId="77777777" w:rsidR="00DB03E3" w:rsidRPr="00DB03E3" w:rsidRDefault="00DB03E3" w:rsidP="00DB03E3">
      <w:pPr>
        <w:spacing w:before="300" w:after="150" w:line="240" w:lineRule="auto"/>
        <w:outlineLvl w:val="0"/>
        <w:rPr>
          <w:rFonts w:eastAsia="Times New Roman" w:cstheme="minorHAnsi"/>
          <w:b/>
          <w:bCs/>
          <w:color w:val="2B87C8"/>
          <w:kern w:val="36"/>
          <w:sz w:val="28"/>
          <w:szCs w:val="28"/>
          <w:lang w:eastAsia="en-GB"/>
        </w:rPr>
      </w:pPr>
      <w:r w:rsidRPr="00DB03E3">
        <w:rPr>
          <w:rFonts w:eastAsia="Times New Roman" w:cstheme="minorHAnsi"/>
          <w:b/>
          <w:bCs/>
          <w:color w:val="2B87C8"/>
          <w:kern w:val="36"/>
          <w:sz w:val="28"/>
          <w:szCs w:val="28"/>
          <w:lang w:eastAsia="en-GB"/>
        </w:rPr>
        <w:t>Statement on Adoption of Definition of Antisemitism</w:t>
      </w:r>
    </w:p>
    <w:p w14:paraId="6A34A53A" w14:textId="77777777" w:rsidR="00DB03E3" w:rsidRPr="00DB03E3" w:rsidRDefault="00DB03E3" w:rsidP="00DB03E3">
      <w:pPr>
        <w:spacing w:after="150" w:line="240" w:lineRule="auto"/>
        <w:rPr>
          <w:rFonts w:eastAsia="Times New Roman" w:cstheme="minorHAnsi"/>
          <w:color w:val="04161C"/>
          <w:lang w:eastAsia="en-GB"/>
        </w:rPr>
      </w:pPr>
      <w:r w:rsidRPr="00DB03E3">
        <w:rPr>
          <w:rFonts w:eastAsia="Times New Roman" w:cstheme="minorHAnsi"/>
          <w:color w:val="04161C"/>
          <w:lang w:eastAsia="en-GB"/>
        </w:rPr>
        <w:t>​​​​​​​​​​​​​</w:t>
      </w:r>
    </w:p>
    <w:p w14:paraId="00B389C6" w14:textId="77777777" w:rsidR="00DB03E3" w:rsidRPr="00DB03E3" w:rsidRDefault="00DB03E3" w:rsidP="00DB03E3">
      <w:pPr>
        <w:spacing w:after="0" w:line="240" w:lineRule="auto"/>
        <w:rPr>
          <w:rFonts w:eastAsia="Times New Roman" w:cstheme="minorHAnsi"/>
          <w:lang w:eastAsia="en-GB"/>
        </w:rPr>
      </w:pPr>
      <w:r w:rsidRPr="00DB03E3">
        <w:rPr>
          <w:rFonts w:eastAsia="Times New Roman" w:cstheme="minorHAnsi"/>
          <w:lang w:eastAsia="en-GB"/>
        </w:rPr>
        <w:t>At a meeting on 25 November 2020, the University of London Board of Trustees agreed to adopt the definition of antisemitism developed by the International Holocaust Remembrance Alliance (IHRA), with clarifications made to the definition by the UK House of Commons Home Affairs Committee. </w:t>
      </w:r>
      <w:r w:rsidRPr="00DB03E3">
        <w:rPr>
          <w:rFonts w:eastAsia="Times New Roman" w:cstheme="minorHAnsi"/>
          <w:color w:val="1A1A1A"/>
          <w:lang w:eastAsia="en-GB"/>
        </w:rPr>
        <w:t>These clarifications are set out in paragraphs (24) and (94) of the Committee report.​</w:t>
      </w:r>
      <w:r w:rsidRPr="00DB03E3">
        <w:rPr>
          <w:rFonts w:eastAsia="Times New Roman" w:cstheme="minorHAnsi"/>
          <w:lang w:eastAsia="en-GB"/>
        </w:rPr>
        <w:br/>
      </w:r>
      <w:r w:rsidRPr="00DB03E3">
        <w:rPr>
          <w:rFonts w:eastAsia="Times New Roman" w:cstheme="minorHAnsi"/>
          <w:lang w:eastAsia="en-GB"/>
        </w:rPr>
        <w:br/>
      </w:r>
      <w:hyperlink r:id="rId5" w:tgtFrame="_blank" w:history="1">
        <w:r w:rsidRPr="00DB03E3">
          <w:rPr>
            <w:rFonts w:eastAsia="Times New Roman" w:cstheme="minorHAnsi"/>
            <w:color w:val="337AB7"/>
            <w:lang w:eastAsia="en-GB"/>
          </w:rPr>
          <w:t>Read the IHRA definition and its background here</w:t>
        </w:r>
      </w:hyperlink>
      <w:r w:rsidRPr="00DB03E3">
        <w:rPr>
          <w:rFonts w:eastAsia="Times New Roman" w:cstheme="minorHAnsi"/>
          <w:lang w:eastAsia="en-GB"/>
        </w:rPr>
        <w:t>.</w:t>
      </w:r>
      <w:r w:rsidRPr="00DB03E3">
        <w:rPr>
          <w:rFonts w:eastAsia="Times New Roman" w:cstheme="minorHAnsi"/>
          <w:lang w:eastAsia="en-GB"/>
        </w:rPr>
        <w:br/>
      </w:r>
      <w:r w:rsidRPr="00DB03E3">
        <w:rPr>
          <w:rFonts w:eastAsia="Times New Roman" w:cstheme="minorHAnsi"/>
          <w:lang w:eastAsia="en-GB"/>
        </w:rPr>
        <w:br/>
      </w:r>
      <w:hyperlink r:id="rId6" w:tgtFrame="_blank" w:history="1">
        <w:r w:rsidRPr="00DB03E3">
          <w:rPr>
            <w:rFonts w:eastAsia="Times New Roman" w:cstheme="minorHAnsi"/>
            <w:color w:val="337AB7"/>
            <w:u w:val="single"/>
            <w:lang w:eastAsia="en-GB"/>
          </w:rPr>
          <w:t>Read the adopted clarifications​ from the UK House of Commons Home Affairs Committee here</w:t>
        </w:r>
      </w:hyperlink>
      <w:r w:rsidRPr="00DB03E3">
        <w:rPr>
          <w:rFonts w:eastAsia="Times New Roman" w:cstheme="minorHAnsi"/>
          <w:lang w:eastAsia="en-GB"/>
        </w:rPr>
        <w:t>.</w:t>
      </w:r>
      <w:r w:rsidRPr="00DB03E3">
        <w:rPr>
          <w:rFonts w:eastAsia="Times New Roman" w:cstheme="minorHAnsi"/>
          <w:lang w:eastAsia="en-GB"/>
        </w:rPr>
        <w:br/>
      </w:r>
      <w:r w:rsidRPr="00DB03E3">
        <w:rPr>
          <w:rFonts w:eastAsia="Times New Roman" w:cstheme="minorHAnsi"/>
          <w:lang w:eastAsia="en-GB"/>
        </w:rPr>
        <w:br/>
        <w:t>In a letter to the Secretary of State for Education, Professor Wendy Thomson, Vice-Chancellor of the University of London, wrote: “The importance of eliminating antisemitism, ignorance, and prejudice should never fade or weaken. Since its foundation in 1836, the University of London has demonstrated its commitment to the values enshrined in its Statutes: ‘The University shall not discriminate against any person on the grounds of race, nationality, ethnic origin, gender, sexual orientation, marital status, disability, age, religion, social background, or political belief’.” </w:t>
      </w:r>
    </w:p>
    <w:p w14:paraId="02B93365" w14:textId="77777777" w:rsidR="00DB03E3" w:rsidRPr="00DB03E3" w:rsidRDefault="00DB03E3" w:rsidP="00DB03E3">
      <w:pPr>
        <w:spacing w:after="0" w:line="240" w:lineRule="auto"/>
        <w:rPr>
          <w:rFonts w:eastAsia="Times New Roman" w:cstheme="minorHAnsi"/>
          <w:lang w:eastAsia="en-GB"/>
        </w:rPr>
      </w:pPr>
      <w:r w:rsidRPr="00DB03E3">
        <w:rPr>
          <w:rFonts w:eastAsia="Times New Roman" w:cstheme="minorHAnsi"/>
          <w:lang w:eastAsia="en-GB"/>
        </w:rPr>
        <w:br/>
      </w:r>
    </w:p>
    <w:p w14:paraId="15F56198" w14:textId="57465994" w:rsidR="00DB03E3" w:rsidRPr="00DB03E3" w:rsidRDefault="00DB03E3" w:rsidP="00DB03E3">
      <w:pPr>
        <w:spacing w:after="0" w:line="240" w:lineRule="auto"/>
        <w:rPr>
          <w:rFonts w:eastAsia="Times New Roman" w:cstheme="minorHAnsi"/>
          <w:lang w:eastAsia="en-GB"/>
        </w:rPr>
      </w:pPr>
      <w:r w:rsidRPr="00DB03E3">
        <w:rPr>
          <w:rFonts w:eastAsia="Times New Roman" w:cstheme="minorHAnsi"/>
          <w:lang w:eastAsia="en-GB"/>
        </w:rPr>
        <w:t>Multiple generations of faculty and students at the University of London point with pride to the many times these principles have been put into practice. These include:</w:t>
      </w:r>
      <w:r w:rsidRPr="00DB03E3">
        <w:rPr>
          <w:rFonts w:eastAsia="Times New Roman" w:cstheme="minorHAnsi"/>
          <w:lang w:eastAsia="en-GB"/>
        </w:rPr>
        <w:br/>
      </w:r>
    </w:p>
    <w:p w14:paraId="7B43F77F" w14:textId="72717748" w:rsidR="00DB03E3" w:rsidRDefault="00DB03E3" w:rsidP="00DB03E3">
      <w:pPr>
        <w:pStyle w:val="ListParagraph"/>
        <w:spacing w:before="100" w:beforeAutospacing="1" w:after="100" w:afterAutospacing="1" w:line="240" w:lineRule="auto"/>
        <w:ind w:left="1440"/>
        <w:rPr>
          <w:rFonts w:eastAsia="Times New Roman" w:cstheme="minorHAnsi"/>
          <w:lang w:eastAsia="en-GB"/>
        </w:rPr>
      </w:pPr>
      <w:r>
        <w:rPr>
          <w:rFonts w:eastAsia="Times New Roman" w:cstheme="minorHAnsi"/>
          <w:lang w:eastAsia="en-GB"/>
        </w:rPr>
        <w:t xml:space="preserve">- </w:t>
      </w:r>
      <w:r w:rsidRPr="00DB03E3">
        <w:rPr>
          <w:rFonts w:eastAsia="Times New Roman" w:cstheme="minorHAnsi"/>
          <w:lang w:eastAsia="en-GB"/>
        </w:rPr>
        <w:t>Being the first British university to admit women to its degree-granting programmes, in 1868.</w:t>
      </w:r>
      <w:r w:rsidRPr="00DB03E3">
        <w:rPr>
          <w:rFonts w:eastAsia="Times New Roman" w:cstheme="minorHAnsi"/>
          <w:lang w:eastAsia="en-GB"/>
        </w:rPr>
        <w:br/>
      </w:r>
      <w:r w:rsidRPr="00DB03E3">
        <w:rPr>
          <w:rFonts w:eastAsia="Times New Roman" w:cstheme="minorHAnsi"/>
          <w:lang w:eastAsia="en-GB"/>
        </w:rPr>
        <w:br/>
      </w:r>
      <w:r>
        <w:rPr>
          <w:rFonts w:eastAsia="Times New Roman" w:cstheme="minorHAnsi"/>
          <w:lang w:eastAsia="en-GB"/>
        </w:rPr>
        <w:t xml:space="preserve">- </w:t>
      </w:r>
      <w:r w:rsidRPr="00DB03E3">
        <w:rPr>
          <w:rFonts w:eastAsia="Times New Roman" w:cstheme="minorHAnsi"/>
          <w:lang w:eastAsia="en-GB"/>
        </w:rPr>
        <w:t>Serving as home to the London School of Jewish Studies, granting its first degrees in 1904.</w:t>
      </w:r>
      <w:r w:rsidRPr="00DB03E3">
        <w:rPr>
          <w:rFonts w:eastAsia="Times New Roman" w:cstheme="minorHAnsi"/>
          <w:lang w:eastAsia="en-GB"/>
        </w:rPr>
        <w:br/>
      </w:r>
      <w:r w:rsidRPr="00DB03E3">
        <w:rPr>
          <w:rFonts w:eastAsia="Times New Roman" w:cstheme="minorHAnsi"/>
          <w:lang w:eastAsia="en-GB"/>
        </w:rPr>
        <w:br/>
      </w:r>
      <w:r>
        <w:rPr>
          <w:rFonts w:eastAsia="Times New Roman" w:cstheme="minorHAnsi"/>
          <w:lang w:eastAsia="en-GB"/>
        </w:rPr>
        <w:t xml:space="preserve">- </w:t>
      </w:r>
      <w:r w:rsidRPr="00DB03E3">
        <w:rPr>
          <w:rFonts w:eastAsia="Times New Roman" w:cstheme="minorHAnsi"/>
          <w:lang w:eastAsia="en-GB"/>
        </w:rPr>
        <w:t>Accepting Nelson Mandela to study law by correspondence while he was imprisoned during the struggle against apartheid.</w:t>
      </w:r>
      <w:r w:rsidRPr="00DB03E3">
        <w:rPr>
          <w:rFonts w:eastAsia="Times New Roman" w:cstheme="minorHAnsi"/>
          <w:lang w:eastAsia="en-GB"/>
        </w:rPr>
        <w:br/>
      </w:r>
    </w:p>
    <w:p w14:paraId="0BE48062" w14:textId="590DA370" w:rsidR="00DB03E3" w:rsidRPr="00DB03E3" w:rsidRDefault="00DB03E3" w:rsidP="00DB03E3">
      <w:pPr>
        <w:pStyle w:val="ListParagraph"/>
        <w:spacing w:before="100" w:beforeAutospacing="1" w:after="100" w:afterAutospacing="1" w:line="240" w:lineRule="auto"/>
        <w:ind w:left="1440"/>
        <w:rPr>
          <w:rFonts w:eastAsia="Times New Roman" w:cstheme="minorHAnsi"/>
          <w:lang w:eastAsia="en-GB"/>
        </w:rPr>
      </w:pPr>
      <w:r w:rsidRPr="00DB03E3">
        <w:rPr>
          <w:rFonts w:eastAsia="Times New Roman" w:cstheme="minorHAnsi"/>
          <w:lang w:eastAsia="en-GB"/>
        </w:rPr>
        <w:t>- Co-founding the organisation Academics at Risk in 1933 and providing continuing support today to the Council for At-Risk Academics.</w:t>
      </w:r>
    </w:p>
    <w:p w14:paraId="581DF249" w14:textId="77777777" w:rsidR="00DB03E3" w:rsidRPr="00DB03E3" w:rsidRDefault="00DB03E3" w:rsidP="00DB03E3">
      <w:pPr>
        <w:spacing w:after="150" w:line="240" w:lineRule="auto"/>
        <w:rPr>
          <w:rFonts w:eastAsia="Times New Roman" w:cstheme="minorHAnsi"/>
          <w:color w:val="000000"/>
          <w:lang w:eastAsia="en-GB"/>
        </w:rPr>
      </w:pPr>
      <w:r w:rsidRPr="00DB03E3">
        <w:rPr>
          <w:rFonts w:eastAsia="Times New Roman" w:cstheme="minorHAnsi"/>
          <w:color w:val="000000"/>
          <w:lang w:eastAsia="en-GB"/>
        </w:rPr>
        <w:t>​</w:t>
      </w:r>
      <w:r w:rsidRPr="00DB03E3">
        <w:rPr>
          <w:rFonts w:eastAsia="Times New Roman" w:cstheme="minorHAnsi"/>
          <w:color w:val="000000"/>
          <w:lang w:eastAsia="en-GB"/>
        </w:rPr>
        <w:br/>
        <w:t>For more information about the University of London’s commitment to combating antisemitism and other forms of prejudice and discrimination, please contact Yasmin Ahmed, Head of Inclusion, at </w:t>
      </w:r>
      <w:hyperlink r:id="rId7" w:history="1">
        <w:r w:rsidRPr="00DB03E3">
          <w:rPr>
            <w:rFonts w:eastAsia="Times New Roman" w:cstheme="minorHAnsi"/>
            <w:color w:val="337AB7"/>
            <w:u w:val="single"/>
            <w:lang w:eastAsia="en-GB"/>
          </w:rPr>
          <w:t>yasmin.ahmed@london.ac.uk</w:t>
        </w:r>
      </w:hyperlink>
      <w:r w:rsidRPr="00DB03E3">
        <w:rPr>
          <w:rFonts w:eastAsia="Times New Roman" w:cstheme="minorHAnsi"/>
          <w:color w:val="000000"/>
          <w:lang w:eastAsia="en-GB"/>
        </w:rPr>
        <w:t>.</w:t>
      </w:r>
    </w:p>
    <w:p w14:paraId="14D7D8F3" w14:textId="77777777" w:rsidR="00650F28" w:rsidRPr="00DB03E3" w:rsidRDefault="00650F28"/>
    <w:sectPr w:rsidR="00650F28" w:rsidRPr="00DB0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B5BF5"/>
    <w:multiLevelType w:val="hybridMultilevel"/>
    <w:tmpl w:val="FEA46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1025754"/>
    <w:multiLevelType w:val="hybridMultilevel"/>
    <w:tmpl w:val="EC8A17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44F94228"/>
    <w:multiLevelType w:val="hybridMultilevel"/>
    <w:tmpl w:val="0B6EBE2E"/>
    <w:lvl w:ilvl="0" w:tplc="0FD02572">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7687849"/>
    <w:multiLevelType w:val="multilevel"/>
    <w:tmpl w:val="A116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1B0783"/>
    <w:multiLevelType w:val="hybridMultilevel"/>
    <w:tmpl w:val="ABC63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BF40A55"/>
    <w:multiLevelType w:val="hybridMultilevel"/>
    <w:tmpl w:val="358A43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E3"/>
    <w:rsid w:val="00650F28"/>
    <w:rsid w:val="007F757E"/>
    <w:rsid w:val="00DB03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1090"/>
  <w15:chartTrackingRefBased/>
  <w15:docId w15:val="{95B5019B-CE50-47EC-AD9A-066B9EE9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521396">
      <w:bodyDiv w:val="1"/>
      <w:marLeft w:val="0"/>
      <w:marRight w:val="0"/>
      <w:marTop w:val="0"/>
      <w:marBottom w:val="0"/>
      <w:divBdr>
        <w:top w:val="none" w:sz="0" w:space="0" w:color="auto"/>
        <w:left w:val="none" w:sz="0" w:space="0" w:color="auto"/>
        <w:bottom w:val="none" w:sz="0" w:space="0" w:color="auto"/>
        <w:right w:val="none" w:sz="0" w:space="0" w:color="auto"/>
      </w:divBdr>
      <w:divsChild>
        <w:div w:id="1049956961">
          <w:marLeft w:val="0"/>
          <w:marRight w:val="0"/>
          <w:marTop w:val="0"/>
          <w:marBottom w:val="0"/>
          <w:divBdr>
            <w:top w:val="none" w:sz="0" w:space="0" w:color="auto"/>
            <w:left w:val="none" w:sz="0" w:space="0" w:color="auto"/>
            <w:bottom w:val="none" w:sz="0" w:space="0" w:color="auto"/>
            <w:right w:val="none" w:sz="0" w:space="0" w:color="auto"/>
          </w:divBdr>
        </w:div>
        <w:div w:id="827791714">
          <w:marLeft w:val="0"/>
          <w:marRight w:val="0"/>
          <w:marTop w:val="0"/>
          <w:marBottom w:val="150"/>
          <w:divBdr>
            <w:top w:val="none" w:sz="0" w:space="0" w:color="auto"/>
            <w:left w:val="none" w:sz="0" w:space="0" w:color="auto"/>
            <w:bottom w:val="none" w:sz="0" w:space="0" w:color="auto"/>
            <w:right w:val="none" w:sz="0" w:space="0" w:color="auto"/>
          </w:divBdr>
        </w:div>
        <w:div w:id="1266421286">
          <w:marLeft w:val="0"/>
          <w:marRight w:val="0"/>
          <w:marTop w:val="0"/>
          <w:marBottom w:val="0"/>
          <w:divBdr>
            <w:top w:val="none" w:sz="0" w:space="0" w:color="auto"/>
            <w:left w:val="none" w:sz="0" w:space="0" w:color="auto"/>
            <w:bottom w:val="none" w:sz="0" w:space="0" w:color="auto"/>
            <w:right w:val="none" w:sz="0" w:space="0" w:color="auto"/>
          </w:divBdr>
          <w:divsChild>
            <w:div w:id="448089782">
              <w:marLeft w:val="0"/>
              <w:marRight w:val="0"/>
              <w:marTop w:val="0"/>
              <w:marBottom w:val="0"/>
              <w:divBdr>
                <w:top w:val="none" w:sz="0" w:space="0" w:color="auto"/>
                <w:left w:val="none" w:sz="0" w:space="0" w:color="auto"/>
                <w:bottom w:val="none" w:sz="0" w:space="0" w:color="auto"/>
                <w:right w:val="none" w:sz="0" w:space="0" w:color="auto"/>
              </w:divBdr>
              <w:divsChild>
                <w:div w:id="1169180369">
                  <w:marLeft w:val="0"/>
                  <w:marRight w:val="0"/>
                  <w:marTop w:val="0"/>
                  <w:marBottom w:val="0"/>
                  <w:divBdr>
                    <w:top w:val="none" w:sz="0" w:space="0" w:color="auto"/>
                    <w:left w:val="none" w:sz="0" w:space="0" w:color="auto"/>
                    <w:bottom w:val="none" w:sz="0" w:space="0" w:color="auto"/>
                    <w:right w:val="none" w:sz="0" w:space="0" w:color="auto"/>
                  </w:divBdr>
                </w:div>
                <w:div w:id="1740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yasmin.ahmed@lond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ations.parliament.uk/pa/cm201617/cmselect/cmhaff/136/136.pdf" TargetMode="External"/><Relationship Id="rId5" Type="http://schemas.openxmlformats.org/officeDocument/2006/relationships/hyperlink" Target="https://www.holocaustremembrance.com/resources/working-definitions-charters/working-definition-antisemitis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Pinson</dc:creator>
  <cp:keywords/>
  <dc:description/>
  <cp:lastModifiedBy>Lucy Jordan</cp:lastModifiedBy>
  <cp:revision>2</cp:revision>
  <dcterms:created xsi:type="dcterms:W3CDTF">2021-03-09T10:13:00Z</dcterms:created>
  <dcterms:modified xsi:type="dcterms:W3CDTF">2021-03-09T10:13:00Z</dcterms:modified>
</cp:coreProperties>
</file>